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6B3A"/>
          <w:sz w:val="18"/>
        </w:rPr>
        <w:t>PROJETO DE PESQUISA · L6</w:t>
      </w:r>
    </w:p>
    <w:p>
      <w:pPr>
        <w:spacing w:after="40"/>
      </w:pPr>
      <w:r>
        <w:rPr>
          <w:b/>
          <w:sz w:val="36"/>
        </w:rPr>
        <w:t>Decisão sob incerteza: limiar ótimo de alerta por perfil de usuário</w:t>
      </w:r>
    </w:p>
    <w:p>
      <w:pPr>
        <w:spacing w:after="120"/>
      </w:pPr>
      <w:r>
        <w:rPr>
          <w:b w:val="0"/>
          <w:color w:val="555555"/>
          <w:sz w:val="19"/>
        </w:rPr>
        <w:t>Pesquisador responsável: Luciano Andrey Schädler · Estado: minuta para submissão a fomento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1. CONTEXTO E PROBLEMA</w:t>
      </w:r>
    </w:p>
    <w:p>
      <w:pPr>
        <w:spacing w:after="80"/>
      </w:pPr>
      <w:r>
        <w:rPr>
          <w:b w:val="0"/>
          <w:sz w:val="21"/>
        </w:rPr>
        <w:t>Um alerta só tem valor se o custo de agir for menor que a perda evitada, na probabilidade correta. Alertas demais cansam o usuário. É preciso definir limiar por perfil (granja, escola, galpão) e medir o valor entregue.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2. PERGUNTA DE PESQUISA</w:t>
      </w:r>
    </w:p>
    <w:p>
      <w:pPr>
        <w:spacing w:after="80"/>
      </w:pPr>
      <w:r>
        <w:rPr>
          <w:b/>
          <w:sz w:val="21"/>
        </w:rPr>
        <w:t>Qual limiar de alerta maximiza o valor para cada perfil, dados o custo de agir e a perda evitada?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3. OBJETIVOS</w:t>
      </w:r>
    </w:p>
    <w:p>
      <w:pPr>
        <w:spacing w:after="80"/>
      </w:pPr>
      <w:r>
        <w:rPr>
          <w:b w:val="0"/>
          <w:sz w:val="21"/>
        </w:rPr>
        <w:t>Geral: Definir limiares personalizados e medir o valor econômico dos alertas.</w:t>
      </w:r>
    </w:p>
    <w:p>
      <w:pPr>
        <w:spacing w:after="20"/>
      </w:pPr>
      <w:r>
        <w:rPr>
          <w:b/>
          <w:sz w:val="21"/>
        </w:rPr>
        <w:t>Específicos:</w:t>
      </w:r>
    </w:p>
    <w:p>
      <w:pPr>
        <w:pStyle w:val="ListBullet"/>
        <w:spacing w:after="40"/>
      </w:pPr>
      <w:r>
        <w:rPr>
          <w:sz w:val="21"/>
        </w:rPr>
        <w:t>Levantar custos de ação e perdas típicas por perfil.</w:t>
      </w:r>
    </w:p>
    <w:p>
      <w:pPr>
        <w:pStyle w:val="ListBullet"/>
        <w:spacing w:after="40"/>
      </w:pPr>
      <w:r>
        <w:rPr>
          <w:sz w:val="21"/>
        </w:rPr>
        <w:t>Aplicar o modelo custo-perda às probabilidades calibradas.</w:t>
      </w:r>
    </w:p>
    <w:p>
      <w:pPr>
        <w:pStyle w:val="ListBullet"/>
        <w:spacing w:after="40"/>
      </w:pPr>
      <w:r>
        <w:rPr>
          <w:sz w:val="21"/>
        </w:rPr>
        <w:t>Simular políticas de alerta em carteiras de edificações.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4. MÉTODOS</w:t>
      </w:r>
    </w:p>
    <w:p>
      <w:pPr>
        <w:spacing w:after="80"/>
      </w:pPr>
      <w:r>
        <w:rPr>
          <w:b w:val="0"/>
          <w:sz w:val="21"/>
        </w:rPr>
        <w:t>Razão custo-perda e valor econômico relativo de previsões probabilísticas; simulação de carteira; análise de sensibilidade.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5. INFRAESTRUTURA COMPUTACIONAL E DE DADOS</w:t>
      </w:r>
    </w:p>
    <w:p>
      <w:pPr>
        <w:spacing w:after="80"/>
      </w:pPr>
      <w:r>
        <w:rPr>
          <w:b w:val="0"/>
          <w:sz w:val="21"/>
        </w:rPr>
        <w:t>GPU para simulação de carteiras; acervo de alertas e resultados.</w:t>
      </w:r>
    </w:p>
    <w:p>
      <w:pPr>
        <w:spacing w:after="80"/>
      </w:pPr>
      <w:r>
        <w:rPr>
          <w:b w:val="0"/>
          <w:color w:val="555555"/>
          <w:sz w:val="19"/>
        </w:rPr>
        <w:t>Parque disponível: GPU RTX 5060 Ti (16 GB) em estação local, servidor VPS com o site Ventos de Toledo, API de modelos de linguagem. Ampliação de GPU: A CONFERIR conforme edital.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6. PRODUTOS ESPERADOS</w:t>
      </w:r>
    </w:p>
    <w:p>
      <w:pPr>
        <w:pStyle w:val="ListBullet"/>
        <w:spacing w:after="40"/>
      </w:pPr>
      <w:r>
        <w:rPr>
          <w:sz w:val="21"/>
        </w:rPr>
        <w:t>Limiar por perfil e relatório de valor.</w:t>
      </w:r>
    </w:p>
    <w:p>
      <w:pPr>
        <w:pStyle w:val="ListBullet"/>
        <w:spacing w:after="40"/>
      </w:pPr>
      <w:r>
        <w:rPr>
          <w:sz w:val="21"/>
        </w:rPr>
        <w:t>Artigo e material para seguradoras e prefeituras.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7. ESCALABILIDADE</w:t>
      </w:r>
    </w:p>
    <w:p>
      <w:pPr>
        <w:spacing w:after="80"/>
      </w:pPr>
      <w:r>
        <w:rPr>
          <w:b w:val="0"/>
          <w:sz w:val="21"/>
        </w:rPr>
        <w:t>Serve a qualquer prefeitura, seguradora ou produtor.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8. RISCOS E MITIGAÇÃO</w:t>
      </w:r>
    </w:p>
    <w:p>
      <w:pPr>
        <w:pStyle w:val="ListBullet"/>
        <w:spacing w:after="40"/>
      </w:pPr>
      <w:r>
        <w:rPr>
          <w:sz w:val="21"/>
        </w:rPr>
        <w:t>Dependência da L2 calibrada.</w:t>
      </w:r>
    </w:p>
    <w:p>
      <w:pPr>
        <w:pStyle w:val="ListBullet"/>
        <w:spacing w:after="40"/>
      </w:pPr>
      <w:r>
        <w:rPr>
          <w:sz w:val="21"/>
        </w:rPr>
        <w:t>Falsos alarmes.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9. ÉTICA, DADOS E LGPD</w:t>
      </w:r>
    </w:p>
    <w:p>
      <w:pPr>
        <w:spacing w:after="80"/>
      </w:pPr>
      <w:r>
        <w:rPr>
          <w:b w:val="0"/>
          <w:sz w:val="21"/>
        </w:rPr>
        <w:t>Publicar a taxa de falsos alarmes desde o primeiro dia.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10. INDICADORES DE SUCESSO</w:t>
      </w:r>
    </w:p>
    <w:p>
      <w:pPr>
        <w:spacing w:after="80"/>
      </w:pPr>
      <w:r>
        <w:rPr>
          <w:b w:val="0"/>
          <w:sz w:val="21"/>
        </w:rPr>
        <w:t>Valor relativo por perfil; taxa de falso alarme.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11. REFERÊNCIAS E STATUS DE VERIFICAÇÃO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680"/>
            <w:shd w:val="clear" w:fill="D9EAD3"/>
          </w:tcPr>
          <w:p>
            <w:r/>
            <w:r>
              <w:rPr>
                <w:b/>
                <w:sz w:val="18"/>
              </w:rPr>
              <w:t>Cód.</w:t>
            </w:r>
          </w:p>
        </w:tc>
        <w:tc>
          <w:tcPr>
            <w:tcW w:type="dxa" w:w="4649"/>
            <w:shd w:val="clear" w:fill="D9EAD3"/>
          </w:tcPr>
          <w:p>
            <w:r/>
            <w:r>
              <w:rPr>
                <w:b/>
                <w:sz w:val="18"/>
              </w:rPr>
              <w:t>Referência</w:t>
            </w:r>
          </w:p>
        </w:tc>
        <w:tc>
          <w:tcPr>
            <w:tcW w:type="dxa" w:w="1247"/>
            <w:shd w:val="clear" w:fill="D9EAD3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2721"/>
            <w:shd w:val="clear" w:fill="D9EAD3"/>
          </w:tcPr>
          <w:p>
            <w:r/>
            <w:r>
              <w:rPr>
                <w:b/>
                <w:sz w:val="18"/>
              </w:rPr>
              <w:t>Fonte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R20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Richardson, valor econômico relativo de previsões por conjunto (QJRMS 2000)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R21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Apólice paramétrica por previsão WTW/Swiss Re 2025; UNU-EHS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VISTA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wtwco.com (notícia 2025)</w:t>
            </w:r>
          </w:p>
        </w:tc>
      </w:tr>
    </w:tbl>
    <w:p>
      <w:pPr>
        <w:spacing w:after="80"/>
      </w:pPr>
      <w:r>
        <w:rPr>
          <w:b w:val="0"/>
          <w:color w:val="555555"/>
          <w:sz w:val="17"/>
        </w:rPr>
        <w:t>VISTA = conteúdo consultado diretamente. A CONFERIR = citação conhecida da literatura, ainda sem verificação de DOI e página; não citar em peça externa antes de conferir.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12. CRONOGRAMA E ORÇAMENTO</w:t>
      </w:r>
    </w:p>
    <w:p>
      <w:pPr>
        <w:spacing w:after="80"/>
      </w:pPr>
      <w:r>
        <w:rPr>
          <w:b w:val="0"/>
          <w:sz w:val="21"/>
        </w:rPr>
        <w:t>Cronograma de 24 meses em quatro semestres (coleta e base, modelagem, validação, publicação e escala): A CONFERIR conforme edital. Orçamento (bolsas, GPU, campo, publicação): A CONFERIR. Fontes possíveis de fomento, ainda a confirmar abertura e regras: CNPq, Fundação Araucária, Finep, Fundo da própria instituição.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13. PENDÊNCIAS ANTES DE SUBMETER</w:t>
      </w:r>
    </w:p>
    <w:p>
      <w:pPr>
        <w:pStyle w:val="ListBullet"/>
        <w:spacing w:after="40"/>
      </w:pPr>
      <w:r>
        <w:rPr>
          <w:sz w:val="21"/>
        </w:rPr>
        <w:t>Conferir DOI, volume e página das referências marcadas A CONFERIR.</w:t>
      </w:r>
    </w:p>
    <w:p>
      <w:pPr>
        <w:pStyle w:val="ListBullet"/>
        <w:spacing w:after="40"/>
      </w:pPr>
      <w:r>
        <w:rPr>
          <w:sz w:val="21"/>
        </w:rPr>
        <w:t>Definir equipe, bolsistas e orientações com a coordenação do Bio Park.</w:t>
      </w:r>
    </w:p>
    <w:p>
      <w:pPr>
        <w:pStyle w:val="ListBullet"/>
        <w:spacing w:after="40"/>
      </w:pPr>
      <w:r>
        <w:rPr>
          <w:sz w:val="21"/>
        </w:rPr>
        <w:t>Confirmar edital, prazos e contrapartida.</w:t>
      </w:r>
    </w:p>
    <w:p>
      <w:pPr>
        <w:pStyle w:val="ListBullet"/>
        <w:spacing w:after="40"/>
      </w:pPr>
      <w:r>
        <w:rPr>
          <w:sz w:val="21"/>
        </w:rPr>
        <w:t>Revisão jurídica de termo de uso, LGPD e propriedade intelectual dos dados.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Minuta de trabalho, sem posição institucional até aprovação · 01/11/2026 · Projeto Ventos de Toledo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623435" cy="57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biop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435" cy="576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1F6B3A"/>
        <w:sz w:val="18"/>
      </w:rPr>
      <w:t xml:space="preserve">    Bio Park · Pesquisa, Ensino e Extensão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