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1F6B3A"/>
          <w:sz w:val="18"/>
        </w:rPr>
        <w:t>PROJETO DE PESQUISA · L5</w:t>
      </w:r>
    </w:p>
    <w:p>
      <w:pPr>
        <w:spacing w:after="40"/>
      </w:pPr>
      <w:r>
        <w:rPr>
          <w:b/>
          <w:sz w:val="36"/>
        </w:rPr>
        <w:t>Downburst: campo de vento, critério de regime e carga em estruturas leves</w:t>
      </w:r>
    </w:p>
    <w:p>
      <w:pPr>
        <w:spacing w:after="120"/>
      </w:pPr>
      <w:r>
        <w:rPr>
          <w:b w:val="0"/>
          <w:color w:val="555555"/>
          <w:sz w:val="19"/>
        </w:rPr>
        <w:t>Pesquisador responsável: Luciano Andrey Schädler · Estado: minuta para submissão a fomento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1. CONTEXTO E PROBLEMA</w:t>
      </w:r>
    </w:p>
    <w:p>
      <w:pPr>
        <w:spacing w:after="80"/>
      </w:pPr>
      <w:r>
        <w:rPr>
          <w:b w:val="0"/>
          <w:sz w:val="21"/>
        </w:rPr>
        <w:t>O motor separa rajada sinótica de downburst, mas o critério de troca (CAPE acima de 1000 J/kg e rajada acima de 50 km/h) é hipótese ainda sem calibração. Downbursts costumam governar o dano em galpões leves.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2. PERGUNTA DE PESQUISA</w:t>
      </w:r>
    </w:p>
    <w:p>
      <w:pPr>
        <w:spacing w:after="80"/>
      </w:pPr>
      <w:r>
        <w:rPr>
          <w:b/>
          <w:sz w:val="21"/>
        </w:rPr>
        <w:t>Quando o perfil radial de downburst governa o projeto em vez da rajada sinótica, e como detectá-lo a tempo?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3. OBJETIVOS</w:t>
      </w:r>
    </w:p>
    <w:p>
      <w:pPr>
        <w:spacing w:after="80"/>
      </w:pPr>
      <w:r>
        <w:rPr>
          <w:b w:val="0"/>
          <w:sz w:val="21"/>
        </w:rPr>
        <w:t>Geral: Calibrar um critério objetivo de regime e quantificar a carga associada.</w:t>
      </w:r>
    </w:p>
    <w:p>
      <w:pPr>
        <w:spacing w:after="20"/>
      </w:pPr>
      <w:r>
        <w:rPr>
          <w:b/>
          <w:sz w:val="21"/>
        </w:rPr>
        <w:t>Específicos:</w:t>
      </w:r>
    </w:p>
    <w:p>
      <w:pPr>
        <w:pStyle w:val="ListBullet"/>
        <w:spacing w:after="40"/>
      </w:pPr>
      <w:r>
        <w:rPr>
          <w:sz w:val="21"/>
        </w:rPr>
        <w:t>Reconstruir eventos com dados de estações, satélite e relâmpagos.</w:t>
      </w:r>
    </w:p>
    <w:p>
      <w:pPr>
        <w:pStyle w:val="ListBullet"/>
        <w:spacing w:after="40"/>
      </w:pPr>
      <w:r>
        <w:rPr>
          <w:sz w:val="21"/>
        </w:rPr>
        <w:t>Comparar perfis empíricos de downburst com os danos observados.</w:t>
      </w:r>
    </w:p>
    <w:p>
      <w:pPr>
        <w:pStyle w:val="ListBullet"/>
        <w:spacing w:after="40"/>
      </w:pPr>
      <w:r>
        <w:rPr>
          <w:sz w:val="21"/>
        </w:rPr>
        <w:t>Calibrar o critério de troca de regime.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4. MÉTODOS</w:t>
      </w:r>
    </w:p>
    <w:p>
      <w:pPr>
        <w:spacing w:after="80"/>
      </w:pPr>
      <w:r>
        <w:rPr>
          <w:b w:val="0"/>
          <w:sz w:val="21"/>
        </w:rPr>
        <w:t>Modelos empíricos de perfil radial; varredura paramétrica contra cada octante; análise de eventos reconstruídos com cautela.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5. INFRAESTRUTURA COMPUTACIONAL E DE DADOS</w:t>
      </w:r>
    </w:p>
    <w:p>
      <w:pPr>
        <w:spacing w:after="80"/>
      </w:pPr>
      <w:r>
        <w:rPr>
          <w:b w:val="0"/>
          <w:sz w:val="21"/>
        </w:rPr>
        <w:t>GPU para varredura massiva; dados de GLM e estações.</w:t>
      </w:r>
    </w:p>
    <w:p>
      <w:pPr>
        <w:spacing w:after="80"/>
      </w:pPr>
      <w:r>
        <w:rPr>
          <w:b w:val="0"/>
          <w:color w:val="555555"/>
          <w:sz w:val="19"/>
        </w:rPr>
        <w:t>Parque disponível: GPU RTX 5060 Ti (16 GB) em estação local, servidor VPS com o site Ventos de Toledo, API de modelos de linguagem. Ampliação de GPU: A CONFERIR conforme edital.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6. PRODUTOS ESPERADOS</w:t>
      </w:r>
    </w:p>
    <w:p>
      <w:pPr>
        <w:pStyle w:val="ListBullet"/>
        <w:spacing w:after="40"/>
      </w:pPr>
      <w:r>
        <w:rPr>
          <w:sz w:val="21"/>
        </w:rPr>
        <w:t>Critério de regime com intervalo de confiança.</w:t>
      </w:r>
    </w:p>
    <w:p>
      <w:pPr>
        <w:pStyle w:val="ListBullet"/>
        <w:spacing w:after="40"/>
      </w:pPr>
      <w:r>
        <w:rPr>
          <w:sz w:val="21"/>
        </w:rPr>
        <w:t>Artigo de revisão aplicada.</w:t>
      </w:r>
    </w:p>
    <w:p>
      <w:pPr>
        <w:pStyle w:val="ListBullet"/>
        <w:spacing w:after="40"/>
      </w:pPr>
      <w:r>
        <w:rPr>
          <w:sz w:val="21"/>
        </w:rPr>
        <w:t>Atualização do motor.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7. ESCALABILIDADE</w:t>
      </w:r>
    </w:p>
    <w:p>
      <w:pPr>
        <w:spacing w:after="80"/>
      </w:pPr>
      <w:r>
        <w:rPr>
          <w:b w:val="0"/>
          <w:sz w:val="21"/>
        </w:rPr>
        <w:t>Fenômeno comum em clima subtropical e tropical.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8. RISCOS E MITIGAÇÃO</w:t>
      </w:r>
    </w:p>
    <w:p>
      <w:pPr>
        <w:pStyle w:val="ListBullet"/>
        <w:spacing w:after="40"/>
      </w:pPr>
      <w:r>
        <w:rPr>
          <w:sz w:val="21"/>
        </w:rPr>
        <w:t>Eventos curtos e pouco medidos.</w:t>
      </w:r>
    </w:p>
    <w:p>
      <w:pPr>
        <w:pStyle w:val="ListBullet"/>
        <w:spacing w:after="40"/>
      </w:pPr>
      <w:r>
        <w:rPr>
          <w:sz w:val="21"/>
        </w:rPr>
        <w:t>Reconstrução com dados esparsos.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9. ÉTICA, DADOS E LGPD</w:t>
      </w:r>
    </w:p>
    <w:p>
      <w:pPr>
        <w:spacing w:after="80"/>
      </w:pPr>
      <w:r>
        <w:rPr>
          <w:b w:val="0"/>
          <w:sz w:val="21"/>
        </w:rPr>
        <w:t>Rotular reconstruções como estimativa.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10. INDICADORES DE SUCESSO</w:t>
      </w:r>
    </w:p>
    <w:p>
      <w:pPr>
        <w:spacing w:after="80"/>
      </w:pPr>
      <w:r>
        <w:rPr>
          <w:b w:val="0"/>
          <w:sz w:val="21"/>
        </w:rPr>
        <w:t>Acerto do critério em eventos conhecidos; erro de carga estimada.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11. REFERÊNCIAS E STATUS DE VERIFICAÇÃO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680"/>
            <w:shd w:val="clear" w:fill="D9EAD3"/>
          </w:tcPr>
          <w:p>
            <w:r/>
            <w:r>
              <w:rPr>
                <w:b/>
                <w:sz w:val="18"/>
              </w:rPr>
              <w:t>Cód.</w:t>
            </w:r>
          </w:p>
        </w:tc>
        <w:tc>
          <w:tcPr>
            <w:tcW w:type="dxa" w:w="4649"/>
            <w:shd w:val="clear" w:fill="D9EAD3"/>
          </w:tcPr>
          <w:p>
            <w:r/>
            <w:r>
              <w:rPr>
                <w:b/>
                <w:sz w:val="18"/>
              </w:rPr>
              <w:t>Referência</w:t>
            </w:r>
          </w:p>
        </w:tc>
        <w:tc>
          <w:tcPr>
            <w:tcW w:type="dxa" w:w="1247"/>
            <w:shd w:val="clear" w:fill="D9EAD3"/>
          </w:tcPr>
          <w:p>
            <w:r/>
            <w:r>
              <w:rPr>
                <w:b/>
                <w:sz w:val="18"/>
              </w:rPr>
              <w:t>Status</w:t>
            </w:r>
          </w:p>
        </w:tc>
        <w:tc>
          <w:tcPr>
            <w:tcW w:type="dxa" w:w="2721"/>
            <w:shd w:val="clear" w:fill="D9EAD3"/>
          </w:tcPr>
          <w:p>
            <w:r/>
            <w:r>
              <w:rPr>
                <w:b/>
                <w:sz w:val="18"/>
              </w:rPr>
              <w:t>Fonte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R10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Holmes e Oliver, modelo empírico de downburst (Eng. Structures 2000)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R13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Goodman et al., GOES-R GLM (Atmos. Research 2013)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R18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Solari, downbursts e carga de vento (Front. Built Env. 2020)</w:t>
            </w:r>
          </w:p>
        </w:tc>
        <w:tc>
          <w:tcPr>
            <w:tcW w:type="dxa" w:w="1247"/>
          </w:tcPr>
          <w:p>
            <w:r/>
            <w:r>
              <w:rPr>
                <w:b/>
                <w:color w:val="B45F06"/>
                <w:sz w:val="17"/>
              </w:rPr>
              <w:t>A CONFERIR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—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7"/>
              </w:rPr>
              <w:t>R19</w:t>
            </w:r>
          </w:p>
        </w:tc>
        <w:tc>
          <w:tcPr>
            <w:tcW w:type="dxa" w:w="4649"/>
          </w:tcPr>
          <w:p>
            <w:r/>
            <w:r>
              <w:rPr>
                <w:sz w:val="17"/>
              </w:rPr>
              <w:t>Revisão do campo de vento de downbursts (Buildings 2024)</w:t>
            </w:r>
          </w:p>
        </w:tc>
        <w:tc>
          <w:tcPr>
            <w:tcW w:type="dxa" w:w="1247"/>
          </w:tcPr>
          <w:p>
            <w:r/>
            <w:r>
              <w:rPr>
                <w:sz w:val="17"/>
              </w:rPr>
              <w:t>VISTA</w:t>
            </w:r>
          </w:p>
        </w:tc>
        <w:tc>
          <w:tcPr>
            <w:tcW w:type="dxa" w:w="2721"/>
          </w:tcPr>
          <w:p>
            <w:r/>
            <w:r>
              <w:rPr>
                <w:sz w:val="17"/>
              </w:rPr>
              <w:t>mdpi.com/2075-5309/14/9/2653</w:t>
            </w:r>
          </w:p>
        </w:tc>
      </w:tr>
    </w:tbl>
    <w:p>
      <w:pPr>
        <w:spacing w:after="80"/>
      </w:pPr>
      <w:r>
        <w:rPr>
          <w:b w:val="0"/>
          <w:color w:val="555555"/>
          <w:sz w:val="17"/>
        </w:rPr>
        <w:t>VISTA = conteúdo consultado diretamente. A CONFERIR = citação conhecida da literatura, ainda sem verificação de DOI e página; não citar em peça externa antes de conferir.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12. CRONOGRAMA E ORÇAMENTO</w:t>
      </w:r>
    </w:p>
    <w:p>
      <w:pPr>
        <w:spacing w:after="80"/>
      </w:pPr>
      <w:r>
        <w:rPr>
          <w:b w:val="0"/>
          <w:sz w:val="21"/>
        </w:rPr>
        <w:t>Cronograma de 24 meses em quatro semestres (coleta e base, modelagem, validação, publicação e escala): A CONFERIR conforme edital. Orçamento (bolsas, GPU, campo, publicação): A CONFERIR. Fontes possíveis de fomento, ainda a confirmar abertura e regras: CNPq, Fundação Araucária, Finep, Fundo da própria instituição.</w:t>
      </w:r>
    </w:p>
    <w:p>
      <w:pPr>
        <w:spacing w:after="60" w:before="200"/>
        <w:pBdr>
          <w:bottom w:val="single" w:sz="6" w:space="1" w:color="1F6B3A"/>
        </w:pBdr>
      </w:pPr>
      <w:r>
        <w:rPr>
          <w:b/>
          <w:color w:val="1F6B3A"/>
          <w:sz w:val="22"/>
        </w:rPr>
        <w:t>13. PENDÊNCIAS ANTES DE SUBMETER</w:t>
      </w:r>
    </w:p>
    <w:p>
      <w:pPr>
        <w:pStyle w:val="ListBullet"/>
        <w:spacing w:after="40"/>
      </w:pPr>
      <w:r>
        <w:rPr>
          <w:sz w:val="21"/>
        </w:rPr>
        <w:t>Conferir DOI, volume e página das referências marcadas A CONFERIR.</w:t>
      </w:r>
    </w:p>
    <w:p>
      <w:pPr>
        <w:pStyle w:val="ListBullet"/>
        <w:spacing w:after="40"/>
      </w:pPr>
      <w:r>
        <w:rPr>
          <w:sz w:val="21"/>
        </w:rPr>
        <w:t>Definir equipe, bolsistas e orientações com a coordenação do Bio Park.</w:t>
      </w:r>
    </w:p>
    <w:p>
      <w:pPr>
        <w:pStyle w:val="ListBullet"/>
        <w:spacing w:after="40"/>
      </w:pPr>
      <w:r>
        <w:rPr>
          <w:sz w:val="21"/>
        </w:rPr>
        <w:t>Confirmar edital, prazos e contrapartida.</w:t>
      </w:r>
    </w:p>
    <w:p>
      <w:pPr>
        <w:pStyle w:val="ListBullet"/>
        <w:spacing w:after="40"/>
      </w:pPr>
      <w:r>
        <w:rPr>
          <w:sz w:val="21"/>
        </w:rPr>
        <w:t>Revisão jurídica de termo de uso, LGPD e propriedade intelectual dos dados.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Minuta de trabalho, sem posição institucional até aprovação · 01/11/2026 · Projeto Ventos de Toledo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623435" cy="57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biop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3435" cy="576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1F6B3A"/>
        <w:sz w:val="18"/>
      </w:rPr>
      <w:t xml:space="preserve">    Bio Park · Pesquisa, Ensino e Extensão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